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fntdata" ContentType="application/x-fontdata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val="clear" w:color="auto" w:fill="35394F"/>
            <w:tcMar>
              <w:top w:w="240" w:type="dxa"/>
              <w:left w:w="0" w:type="dxa"/>
              <w:bottom w:w="240" w:type="dxa"/>
              <w:right w:w="0" w:type="dxa"/>
            </w:tcMar>
          </w:tcPr>
          <w:p>
            <w:pPr>
              <w:spacing w:before="0" w:after="0" w:line="240" w:lineRule="auto"/>
              <w:ind w:left="260" w:right="260"/>
              <w:jc w:val="right"/>
            </w:pPr>
            <w:hyperlink r:id="rId10">
              <w:r>
                <w:drawing>
                  <wp:inline xmlns:a="http://schemas.openxmlformats.org/drawingml/2006/main" xmlns:pic="http://schemas.openxmlformats.org/drawingml/2006/picture">
                    <wp:extent cx="720000" cy="391800"/>
                    <wp:docPr id="1" name="Picture 1" descr="ETHYX — ethyx.eu" title="ETHYX — ethyx.eu"/>
                    <wp:cNvGraphicFramePr>
                      <a:graphicFrameLocks noChangeAspect="1"/>
                    </wp:cNvGraphicFramePr>
                    <a:graphic>
                      <a:graphicData uri="http://schemas.openxmlformats.org/drawingml/2006/picture">
                        <pic:pic>
                          <pic:nvPicPr>
                            <pic:cNvPr id="0" name="logo-lockup.png"/>
                            <pic:cNvPicPr/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20000" cy="391800"/>
                            </a:xfrm>
                            <a:prstGeom prst="rect"/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  <w:p>
            <w:pPr>
              <w:spacing w:before="0" w:after="0" w:line="240" w:lineRule="exact"/>
              <w:ind w:left="260" w:right="260"/>
            </w:pPr>
          </w:p>
          <w:p>
            <w:pPr>
              <w:spacing w:before="0" w:after="0" w:line="252" w:lineRule="auto"/>
              <w:ind w:left="260" w:right="260"/>
            </w:pPr>
            <w:r>
              <w:rPr>
                <w:rFonts w:ascii="Funnel Display" w:hAnsi="Funnel Display" w:cs="Funnel Display" w:eastAsia="Funnel Display"/>
                <w:b/>
                <w:i w:val="0"/>
                <w:color w:val="FFFFFF"/>
                <w:sz w:val="44"/>
              </w:rPr>
              <w:t>GDPR 30-60-90-Day Roadmap</w:t>
            </w:r>
          </w:p>
          <w:p>
            <w:pPr>
              <w:spacing w:before="100" w:after="0" w:line="276" w:lineRule="auto"/>
              <w:ind w:left="260" w:right="260"/>
            </w:pPr>
            <w:r>
              <w:rPr>
                <w:rFonts w:ascii="Inter" w:hAnsi="Inter" w:cs="Inter" w:eastAsia="Inter"/>
                <w:b w:val="0"/>
                <w:i w:val="0"/>
                <w:color w:val="FFFFFF"/>
                <w:sz w:val="21"/>
              </w:rPr>
              <w:t>A 90-day action plan to reach GDPR readiness · For SMEs · EN</w:t>
            </w:r>
          </w:p>
          <w:p>
            <w:pPr>
              <w:spacing w:before="140" w:after="0" w:line="288" w:lineRule="auto"/>
              <w:ind w:left="260" w:right="260"/>
            </w:pPr>
            <w:r>
              <w:rPr>
                <w:rFonts w:ascii="Inter" w:hAnsi="Inter" w:cs="Inter" w:eastAsia="Inter"/>
                <w:b w:val="0"/>
                <w:i w:val="0"/>
                <w:color w:val="E5E7EB"/>
                <w:sz w:val="15"/>
              </w:rPr>
              <w:t>Legally reviewed by a certified Data Protection Officer (CIPP/E) · Provided by ETHYX · Version 1.0 · June 2026</w:t>
            </w:r>
          </w:p>
        </w:tc>
      </w:tr>
    </w:tbl>
    <w:p>
      <w:pPr>
        <w:shd w:val="clear" w:color="auto" w:fill="E34663"/>
        <w:spacing w:before="0" w:after="200" w:line="60" w:lineRule="exact"/>
      </w:pPr>
    </w:p>
    <w:p>
      <w:pPr>
        <w:spacing w:before="0" w:after="0" w:line="12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45"/>
        <w:gridCol w:w="9819"/>
      </w:tblGrid>
      <w:tr>
        <w:trPr>
          <w:cantSplit w:val="1"/>
        </w:trPr>
        <w:tc>
          <w:tcPr>
            <w:tcW w:type="dxa" w:w="45"/>
            <w:shd w:val="clear" w:color="auto" w:fill="E34663"/>
            <w:tcMar>
              <w:top w:w="130" w:type="dxa"/>
              <w:left w:w="0" w:type="dxa"/>
              <w:bottom w:w="130" w:type="dxa"/>
              <w:right w:w="0" w:type="dxa"/>
            </w:tcMar>
          </w:tcPr>
          <w:p/>
        </w:tc>
        <w:tc>
          <w:tcPr>
            <w:tcW w:type="dxa" w:w="9819"/>
            <w:shd w:val="clear" w:color="auto" w:fill="FEF6F7"/>
            <w:tcMar>
              <w:top w:w="130" w:type="dxa"/>
              <w:left w:w="0" w:type="dxa"/>
              <w:bottom w:w="130" w:type="dxa"/>
              <w:right w:w="0" w:type="dxa"/>
            </w:tcMar>
          </w:tcPr>
          <w:p>
            <w:pPr>
              <w:spacing w:before="0" w:after="0" w:line="312" w:lineRule="auto"/>
              <w:ind w:left="215" w:right="260"/>
            </w:pPr>
            <w:r>
              <w:rPr>
                <w:rFonts w:ascii="Funnel Display" w:hAnsi="Funnel Display" w:cs="Funnel Display" w:eastAsia="Funnel Display"/>
                <w:b/>
                <w:i w:val="0"/>
                <w:color w:val="E34663"/>
                <w:spacing w:val="8"/>
                <w:sz w:val="16"/>
              </w:rPr>
              <w:t xml:space="preserve">» HOW TO USE  </w:t>
            </w:r>
            <w:r>
              <w:rPr>
                <w:rFonts w:ascii="Inter" w:hAnsi="Inter" w:cs="Inter" w:eastAsia="Inter"/>
                <w:b w:val="0"/>
                <w:i w:val="0"/>
                <w:color w:val="35394F"/>
                <w:sz w:val="16"/>
              </w:rPr>
              <w:t>This roadmap turns GDPR compliance into a 90-day project with three phases: Discover (Days 1–30), Document &amp; remediate (Days 31–60), and Embed &amp; sustain (Days 61–90). Assign each action an owner and a target date, and tick it off as you go. Actions reference the companion ETHYX templates that help you complete them. Delete this box and all [placeholders] before finalising.</w:t>
            </w:r>
          </w:p>
        </w:tc>
      </w:tr>
    </w:tbl>
    <w:p>
      <w:pPr>
        <w:spacing w:before="0" w:after="0" w:line="120" w:lineRule="exact"/>
      </w:pP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How to use this roadmap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90 days is enough to move a typical SME from 'we have not really looked at GDPR' to 'we can demonstrate a credible, documented compliance position'. It will not make you perfect – it builds the foundation and the habits. Work top to bottom; later phases assume the earlier ones are done. Run the GDPR Compliance Checklist before you start and again at Day 90 to measure progress.</w:t>
      </w: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The three phases at a glance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Days 1–30 – Discover &amp; assess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Find out what personal data you hold, where it lives, and where the biggest gaps are.</w:t>
            </w:r>
          </w:p>
        </w:tc>
      </w:tr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Days 31–60 – Document &amp; remediate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Put the core documents and contracts in place and fix the highest-priority gaps.</w:t>
            </w:r>
          </w:p>
        </w:tc>
      </w:tr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Days 61–90 – Embed &amp; sustain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Train people, set up breach and request handling, and make compliance a routine.</w:t>
            </w:r>
          </w:p>
        </w:tc>
      </w:tr>
    </w:tbl>
    <w:p>
      <w:pPr>
        <w:spacing w:before="0" w:after="0" w:line="160" w:lineRule="exact"/>
      </w:pPr>
    </w:p>
    <w:p>
      <w:pPr>
        <w:keepNext w:val="1"/>
        <w:keepLines w:val="1"/>
        <w:shd w:val="clear" w:color="auto" w:fill="35394F"/>
        <w:spacing w:before="110" w:after="110" w:line="240" w:lineRule="auto"/>
        <w:ind w:left="0" w:right="0" w:firstLine="260"/>
      </w:pPr>
      <w:r>
        <w:rPr>
          <w:rFonts w:ascii="Funnel Display" w:hAnsi="Funnel Display" w:cs="Funnel Display" w:eastAsia="Funnel Display"/>
          <w:b/>
          <w:i w:val="0"/>
          <w:color w:val="FFFFFF"/>
          <w:sz w:val="23"/>
        </w:rPr>
        <w:t>DAYS 1–30 – Discover &amp; assess</w:t>
      </w:r>
    </w:p>
    <w:p>
      <w:pPr>
        <w:keepNext w:val="1"/>
        <w:keepLines w:val="1"/>
        <w:spacing w:before="0" w:after="0" w:line="120" w:lineRule="exact"/>
      </w:pPr>
    </w:p>
    <w:p>
      <w:pPr>
        <w:keepNext w:val="1"/>
        <w:keepLines w:val="1"/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You cannot protect or document data you have not mapped. Spend the first month building an honest picture.</w:t>
      </w:r>
    </w:p>
    <w:p>
      <w:pPr>
        <w:keepNext w:val="1"/>
        <w:keepLines w:val="1"/>
        <w:spacing w:before="40" w:after="160" w:line="300" w:lineRule="auto"/>
        <w:ind w:left="260" w:right="260"/>
      </w:pPr>
      <w:r>
        <w:rPr>
          <w:rFonts w:ascii="Inter" w:hAnsi="Inter" w:cs="Inter" w:eastAsia="Inter"/>
          <w:b/>
          <w:i w:val="0"/>
          <w:color w:val="E34663"/>
          <w:sz w:val="16"/>
        </w:rPr>
        <w:t>→ Companion: GDPR Compliance Checklist · ROPA Template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7161"/>
        <w:gridCol w:w="945"/>
        <w:gridCol w:w="993"/>
        <w:gridCol w:w="765"/>
      </w:tblGrid>
      <w:tr>
        <w:trPr>
          <w:cantSplit w:val="1"/>
          <w:tblHeader w:val="1"/>
        </w:trPr>
        <w:tc>
          <w:tcPr>
            <w:tcW w:type="dxa" w:w="7161"/>
            <w:shd w:val="clear" w:color="auto" w:fill="35394F"/>
            <w:tcMar>
              <w:top w:w="70" w:type="dxa"/>
              <w:left w:w="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Action</w:t>
            </w:r>
          </w:p>
        </w:tc>
        <w:tc>
          <w:tcPr>
            <w:tcW w:type="dxa" w:w="945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Owner</w:t>
            </w:r>
          </w:p>
        </w:tc>
        <w:tc>
          <w:tcPr>
            <w:tcW w:type="dxa" w:w="993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Target date</w:t>
            </w:r>
          </w:p>
        </w:tc>
        <w:tc>
          <w:tcPr>
            <w:tcW w:type="dxa" w:w="765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Done</w:t>
            </w:r>
          </w:p>
        </w:tc>
      </w:tr>
      <w:tr>
        <w:trPr>
          <w:cantSplit w:val="1"/>
        </w:trPr>
        <w:tc>
          <w:tcPr>
            <w:tcW w:type="dxa" w:w="716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Assign overall responsibility for data protection; decide if a DPO is required.</w:t>
            </w:r>
          </w:p>
        </w:tc>
        <w:tc>
          <w:tcPr>
            <w:tcW w:type="dxa" w:w="94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99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61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Run the GDPR Compliance Checklist to get a baseline gap list.</w:t>
            </w:r>
          </w:p>
        </w:tc>
        <w:tc>
          <w:tcPr>
            <w:tcW w:type="dxa" w:w="94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99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6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Start a Record of Processing Activities (ROPA) – list every processing activity.</w:t>
            </w:r>
          </w:p>
        </w:tc>
        <w:tc>
          <w:tcPr>
            <w:tcW w:type="dxa" w:w="94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99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61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List every tool/processor that touches personal data (CRM, email, HR, finance, hosting).</w:t>
            </w:r>
          </w:p>
        </w:tc>
        <w:tc>
          <w:tcPr>
            <w:tcW w:type="dxa" w:w="94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99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6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Identify any special-category data and any AI tools in use.</w:t>
            </w:r>
          </w:p>
        </w:tc>
        <w:tc>
          <w:tcPr>
            <w:tcW w:type="dxa" w:w="94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99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61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Identify the top 5 risks / quick wins to tackle first.</w:t>
            </w:r>
          </w:p>
        </w:tc>
        <w:tc>
          <w:tcPr>
            <w:tcW w:type="dxa" w:w="94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99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</w:tbl>
    <w:p>
      <w:pPr>
        <w:spacing w:before="0" w:after="0" w:line="160" w:lineRule="exact"/>
      </w:pPr>
    </w:p>
    <w:p>
      <w:pPr>
        <w:keepNext w:val="1"/>
        <w:keepLines w:val="1"/>
        <w:shd w:val="clear" w:color="auto" w:fill="35394F"/>
        <w:spacing w:before="110" w:after="110" w:line="240" w:lineRule="auto"/>
        <w:ind w:left="0" w:right="0" w:firstLine="260"/>
      </w:pPr>
      <w:r>
        <w:rPr>
          <w:rFonts w:ascii="Funnel Display" w:hAnsi="Funnel Display" w:cs="Funnel Display" w:eastAsia="Funnel Display"/>
          <w:b/>
          <w:i w:val="0"/>
          <w:color w:val="FFFFFF"/>
          <w:sz w:val="23"/>
        </w:rPr>
        <w:t>DAYS 31–60 – Document &amp; remediate</w:t>
      </w:r>
    </w:p>
    <w:p>
      <w:pPr>
        <w:keepNext w:val="1"/>
        <w:keepLines w:val="1"/>
        <w:spacing w:before="0" w:after="0" w:line="120" w:lineRule="exact"/>
      </w:pPr>
    </w:p>
    <w:p>
      <w:pPr>
        <w:keepNext w:val="1"/>
        <w:keepLines w:val="1"/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With the picture clear, put the core paperwork in place and close the highest-priority gaps.</w:t>
      </w:r>
    </w:p>
    <w:p>
      <w:pPr>
        <w:keepNext w:val="1"/>
        <w:keepLines w:val="1"/>
        <w:spacing w:before="40" w:after="160" w:line="300" w:lineRule="auto"/>
        <w:ind w:left="260" w:right="260"/>
      </w:pPr>
      <w:r>
        <w:rPr>
          <w:rFonts w:ascii="Inter" w:hAnsi="Inter" w:cs="Inter" w:eastAsia="Inter"/>
          <w:b/>
          <w:i w:val="0"/>
          <w:color w:val="E34663"/>
          <w:sz w:val="16"/>
        </w:rPr>
        <w:t>→ Companion: Privacy Notice · DPA · TOM Checklist Templates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7133"/>
        <w:gridCol w:w="959"/>
        <w:gridCol w:w="1007"/>
        <w:gridCol w:w="765"/>
      </w:tblGrid>
      <w:tr>
        <w:trPr>
          <w:cantSplit w:val="1"/>
          <w:tblHeader w:val="1"/>
        </w:trPr>
        <w:tc>
          <w:tcPr>
            <w:tcW w:type="dxa" w:w="7133"/>
            <w:shd w:val="clear" w:color="auto" w:fill="35394F"/>
            <w:tcMar>
              <w:top w:w="70" w:type="dxa"/>
              <w:left w:w="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Action</w:t>
            </w:r>
          </w:p>
        </w:tc>
        <w:tc>
          <w:tcPr>
            <w:tcW w:type="dxa" w:w="959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Owner</w:t>
            </w:r>
          </w:p>
        </w:tc>
        <w:tc>
          <w:tcPr>
            <w:tcW w:type="dxa" w:w="1007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Target date</w:t>
            </w:r>
          </w:p>
        </w:tc>
        <w:tc>
          <w:tcPr>
            <w:tcW w:type="dxa" w:w="765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Done</w:t>
            </w:r>
          </w:p>
        </w:tc>
      </w:tr>
      <w:tr>
        <w:trPr>
          <w:cantSplit w:val="1"/>
        </w:trPr>
        <w:tc>
          <w:tcPr>
            <w:tcW w:type="dxa" w:w="713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Publish or update your website and employee privacy notices.</w:t>
            </w:r>
          </w:p>
        </w:tc>
        <w:tc>
          <w:tcPr>
            <w:tcW w:type="dxa" w:w="95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0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3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Sign Data Processing Agreements (DPAs) with all processors.</w:t>
            </w:r>
          </w:p>
        </w:tc>
        <w:tc>
          <w:tcPr>
            <w:tcW w:type="dxa" w:w="95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07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3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Document your technical &amp; organisational measures (TOMs).</w:t>
            </w:r>
          </w:p>
        </w:tc>
        <w:tc>
          <w:tcPr>
            <w:tcW w:type="dxa" w:w="95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0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3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Define and document retention periods; schedule deletions.</w:t>
            </w:r>
          </w:p>
        </w:tc>
        <w:tc>
          <w:tcPr>
            <w:tcW w:type="dxa" w:w="95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07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3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Record the legal basis for each processing activity in the ROPA.</w:t>
            </w:r>
          </w:p>
        </w:tc>
        <w:tc>
          <w:tcPr>
            <w:tcW w:type="dxa" w:w="95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0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3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Document consent records and fix any non-compliant opt-ins.</w:t>
            </w:r>
          </w:p>
        </w:tc>
        <w:tc>
          <w:tcPr>
            <w:tcW w:type="dxa" w:w="95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07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3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Check international transfers and put SCCs/TIAs in place where needed.</w:t>
            </w:r>
          </w:p>
        </w:tc>
        <w:tc>
          <w:tcPr>
            <w:tcW w:type="dxa" w:w="95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0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</w:tbl>
    <w:p>
      <w:pPr>
        <w:spacing w:before="0" w:after="0" w:line="160" w:lineRule="exact"/>
      </w:pPr>
    </w:p>
    <w:p>
      <w:pPr>
        <w:keepNext w:val="1"/>
        <w:keepLines w:val="1"/>
        <w:shd w:val="clear" w:color="auto" w:fill="35394F"/>
        <w:spacing w:before="110" w:after="110" w:line="240" w:lineRule="auto"/>
        <w:ind w:left="0" w:right="0" w:firstLine="260"/>
      </w:pPr>
      <w:r>
        <w:rPr>
          <w:rFonts w:ascii="Funnel Display" w:hAnsi="Funnel Display" w:cs="Funnel Display" w:eastAsia="Funnel Display"/>
          <w:b/>
          <w:i w:val="0"/>
          <w:color w:val="FFFFFF"/>
          <w:sz w:val="23"/>
        </w:rPr>
        <w:t>DAYS 61–90 – Embed &amp; sustain</w:t>
      </w:r>
    </w:p>
    <w:p>
      <w:pPr>
        <w:keepNext w:val="1"/>
        <w:keepLines w:val="1"/>
        <w:spacing w:before="0" w:after="0" w:line="120" w:lineRule="exact"/>
      </w:pPr>
    </w:p>
    <w:p>
      <w:pPr>
        <w:keepNext w:val="1"/>
        <w:keepLines w:val="1"/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Turn documents into behaviour. The goal is a compliance position you can maintain and demonstrate.</w:t>
      </w:r>
    </w:p>
    <w:p>
      <w:pPr>
        <w:keepNext w:val="1"/>
        <w:keepLines w:val="1"/>
        <w:spacing w:before="40" w:after="160" w:line="300" w:lineRule="auto"/>
        <w:ind w:left="260" w:right="260"/>
      </w:pPr>
      <w:r>
        <w:rPr>
          <w:rFonts w:ascii="Inter" w:hAnsi="Inter" w:cs="Inter" w:eastAsia="Inter"/>
          <w:b/>
          <w:i w:val="0"/>
          <w:color w:val="E34663"/>
          <w:sz w:val="16"/>
        </w:rPr>
        <w:t>→ Companion: Staff Training Tracker · DPIA Template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7144"/>
        <w:gridCol w:w="954"/>
        <w:gridCol w:w="1002"/>
        <w:gridCol w:w="765"/>
      </w:tblGrid>
      <w:tr>
        <w:trPr>
          <w:cantSplit w:val="1"/>
          <w:tblHeader w:val="1"/>
        </w:trPr>
        <w:tc>
          <w:tcPr>
            <w:tcW w:type="dxa" w:w="7144"/>
            <w:shd w:val="clear" w:color="auto" w:fill="35394F"/>
            <w:tcMar>
              <w:top w:w="70" w:type="dxa"/>
              <w:left w:w="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Action</w:t>
            </w:r>
          </w:p>
        </w:tc>
        <w:tc>
          <w:tcPr>
            <w:tcW w:type="dxa" w:w="954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Owner</w:t>
            </w:r>
          </w:p>
        </w:tc>
        <w:tc>
          <w:tcPr>
            <w:tcW w:type="dxa" w:w="1002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Target date</w:t>
            </w:r>
          </w:p>
        </w:tc>
        <w:tc>
          <w:tcPr>
            <w:tcW w:type="dxa" w:w="765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Done</w:t>
            </w:r>
          </w:p>
        </w:tc>
      </w:tr>
      <w:tr>
        <w:trPr>
          <w:cantSplit w:val="1"/>
        </w:trPr>
        <w:tc>
          <w:tcPr>
            <w:tcW w:type="dxa" w:w="714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Deliver data protection training to all staff and record completion.</w:t>
            </w:r>
          </w:p>
        </w:tc>
        <w:tc>
          <w:tcPr>
            <w:tcW w:type="dxa" w:w="95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02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44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Put a data breach response plan in place; brief the team on the 72-hour rule.</w:t>
            </w:r>
          </w:p>
        </w:tc>
        <w:tc>
          <w:tcPr>
            <w:tcW w:type="dxa" w:w="954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02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4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Set up a documented process for data subject requests (access, erasure, etc.).</w:t>
            </w:r>
          </w:p>
        </w:tc>
        <w:tc>
          <w:tcPr>
            <w:tcW w:type="dxa" w:w="95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02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44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Adopt a DPIA process for new high-risk processing.</w:t>
            </w:r>
          </w:p>
        </w:tc>
        <w:tc>
          <w:tcPr>
            <w:tcW w:type="dxa" w:w="954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02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4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Assign ongoing ownership and a review cadence (at least annual).</w:t>
            </w:r>
          </w:p>
        </w:tc>
        <w:tc>
          <w:tcPr>
            <w:tcW w:type="dxa" w:w="95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02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7144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Re-run the GDPR Compliance Checklist to measure 90-day progress.</w:t>
            </w:r>
          </w:p>
        </w:tc>
        <w:tc>
          <w:tcPr>
            <w:tcW w:type="dxa" w:w="954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02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76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</w:tbl>
    <w:p>
      <w:pPr>
        <w:spacing w:before="0" w:after="0" w:line="160" w:lineRule="exact"/>
      </w:pPr>
    </w:p>
    <w:p>
      <w:pPr>
        <w:pBdr>
          <w:top w:val="single" w:sz="4" w:space="0" w:color="E5E7EB"/>
        </w:pBdr>
        <w:spacing w:before="200" w:after="200" w:line="20" w:lineRule="exact"/>
      </w:pP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90-day summary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90-day status: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☐ Not started   ☐ In progress   ☐ Foundation in place   ☐ Maintained</w:t>
            </w:r>
          </w:p>
        </w:tc>
      </w:tr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Roadmap owner / sign-off: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______________</w:t>
            </w: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 xml:space="preserve"> (Name)</w:t>
            </w: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 xml:space="preserve"> ______________</w:t>
            </w: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 xml:space="preserve"> (Date)</w:t>
            </w:r>
          </w:p>
        </w:tc>
      </w:tr>
    </w:tbl>
    <w:p>
      <w:pPr>
        <w:spacing w:before="0" w:after="0" w:line="160" w:lineRule="exact"/>
      </w:pPr>
    </w:p>
    <w:p>
      <w:pPr>
        <w:pBdr>
          <w:top w:val="single" w:sz="4" w:space="0" w:color="E5E7EB"/>
        </w:pBdr>
        <w:spacing w:before="200" w:after="200" w:line="2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 w:val="1"/>
        </w:trPr>
        <w:tc>
          <w:tcPr>
            <w:tcW w:type="dxa" w:w="9865"/>
            <w:tcBorders>
              <w:top w:val="single" w:sz="8" w:space="0" w:color="35394F"/>
            </w:tcBorders>
            <w:shd w:val="clear" w:color="auto" w:fill="F9FAFB"/>
            <w:tcMar>
              <w:top w:w="150" w:type="dxa"/>
              <w:left w:w="0" w:type="dxa"/>
              <w:bottom w:w="150" w:type="dxa"/>
              <w:right w:w="0" w:type="dxa"/>
            </w:tcMar>
          </w:tcPr>
          <w:p>
            <w:pPr>
              <w:spacing w:before="0" w:after="0" w:line="312" w:lineRule="auto"/>
              <w:ind w:left="260" w:right="260"/>
            </w:pPr>
            <w:r>
              <w:rPr>
                <w:rFonts w:ascii="Inter" w:hAnsi="Inter" w:cs="Inter" w:eastAsia="Inter"/>
                <w:b w:val="0"/>
                <w:i w:val="0"/>
                <w:color w:val="6B7280"/>
                <w:sz w:val="16"/>
              </w:rPr>
              <w:t>This roadmap is provided for guidance only and does not constitute legal advice. It is based on Regulation (EU) 2016/679 (GDPR) and the German BDSG. Reviewed by a certified Data Protection Officer (CIPP/E). Provided by ETHYX – ethyx.eu. GDPR max fine: €20M / 4% of global annual turnover. Have your compliance programme reviewed by a qualified DPO or counsel. Version 1.0 · June 2026.</w:t>
            </w:r>
          </w:p>
        </w:tc>
      </w:tr>
    </w:tbl>
    <w:sectPr w:rsidR="00FC693F" w:rsidRPr="0006063C" w:rsidSect="00034616">
      <w:footerReference w:type="default" r:id="rId11"/>
      <w:pgSz w:w="11906" w:h="16838"/>
      <w:pgMar w:top="794" w:right="1020" w:bottom="850" w:left="1020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Inter">
    <w:altName w:val="Arial"/>
    <w:embedRegular r:id="rId1" w:fontKey="{7A1EA35F-4F27-4117-8D0C-262A57D44DFC}"/>
    <w:embedBold r:id="rId2" w:fontKey="{CC957D35-E77B-457D-9F36-02DF47B27AFB}"/>
  </w:font>
  <w:font w:name="Funnel Display">
    <w:altName w:val="Arial"/>
    <w:embedBold r:id="rId3" w:fontKey="{C7F8B765-598E-40B6-B288-CA3377A3DA60}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0" w:lineRule="exact"/>
    </w:pPr>
    <w:r/>
  </w:p>
  <w:tbl>
    <w:tblPr>
      <w:tblW w:w="98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firstColumn="1" w:firstRow="1" w:lastColumn="0" w:lastRow="0" w:noHBand="0" w:noVBand="1" w:val="04A0"/>
    </w:tblPr>
    <w:tblGrid>
      <w:gridCol w:w="9371"/>
      <w:gridCol w:w="493"/>
    </w:tblGrid>
    <w:tr>
      <w:tc>
        <w:tcPr>
          <w:tcW w:type="dxa" w:w="9371"/>
          <w:tcBorders>
            <w:top w:val="single" w:sz="4" w:space="0" w:color="E5E7EB"/>
          </w:tcBorders>
          <w:tcMar>
            <w:top w:w="110" w:type="dxa"/>
            <w:left w:w="0" w:type="dxa"/>
            <w:bottom w:w="0" w:type="dxa"/>
            <w:right w:w="0" w:type="dxa"/>
          </w:tcMar>
        </w:tcPr>
        <w:p>
          <w:pPr>
            <w:spacing w:before="0" w:after="0" w:line="240" w:lineRule="auto"/>
          </w:pP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t>GDPR 30-60-90-Day Roadmap · Reviewed by a certified Data Protection Officer (CIPP/E) · Provided by ETHYX (</w:t>
          </w:r>
          <w:hyperlink r:id="rId1">
            <w:r>
              <w:rPr>
                <w:rFonts w:ascii="Inter" w:hAnsi="Inter" w:cs="Inter" w:eastAsia="Inter"/>
                <w:b w:val="0"/>
                <w:i w:val="0"/>
                <w:color w:val="6B7280"/>
                <w:sz w:val="14"/>
              </w:rPr>
              <w:t>ethyx.eu</w:t>
            </w:r>
          </w:hyperlink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t>) · For guidance only – not legal advice</w:t>
          </w:r>
        </w:p>
      </w:tc>
      <w:tc>
        <w:tcPr>
          <w:tcW w:type="dxa" w:w="493"/>
          <w:tcBorders>
            <w:top w:val="single" w:sz="4" w:space="0" w:color="E5E7EB"/>
          </w:tcBorders>
          <w:tcMar>
            <w:top w:w="110" w:type="dxa"/>
            <w:left w:w="0" w:type="dxa"/>
            <w:bottom w:w="0" w:type="dxa"/>
            <w:right w:w="260" w:type="dxa"/>
          </w:tcMar>
        </w:tcPr>
        <w:p>
          <w:pPr>
            <w:spacing w:before="0" w:after="0" w:line="240" w:lineRule="auto"/>
            <w:jc w:val="right"/>
            <w:rPr>
              <w:rFonts w:ascii="Inter" w:hAnsi="Inter" w:cs="Inter" w:eastAsia="Inter"/>
              <w:b w:val="0"/>
              <w:i w:val="0"/>
              <w:color w:val="6B7280"/>
              <w:sz w:val="14"/>
            </w:rPr>
          </w:pP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fldChar w:fldCharType="begin"/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instrText xml:space="preserve"> PAGE </w:instrText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fldChar w:fldCharType="separate"/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t/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embedTrueTypeFonts w:val="true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300" w:lineRule="auto"/>
    </w:pPr>
    <w:rPr>
      <w:rFonts w:ascii="Inter" w:hAnsi="Inter" w:cs="Inter" w:eastAsia="Inter"/>
      <w:color w:val="35394F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ethyx.eu/?utm_source=gated-asset&amp;utm_medium=document&amp;utm_campaign=gdpr-30-60-90-day-roadmap-en" TargetMode="External"/><Relationship Id="rId11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fntdata"/><Relationship Id="rId2" Type="http://schemas.openxmlformats.org/officeDocument/2006/relationships/font" Target="fonts/font2.fntdata"/><Relationship Id="rId3" Type="http://schemas.openxmlformats.org/officeDocument/2006/relationships/font" Target="fonts/font3.fntdata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ethyx.eu/?utm_source=gated-asset&amp;utm_medium=document&amp;utm_campaign=gdpr-30-60-90-day-roadmap-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GDPR 30-60-90-Day Roadmap</dc:title>
  <dc:subject/>
  <dc:creator>ETHYX</dc:creator>
  <cp:keywords/>
  <dc:description>Legally reviewed by a certified Data Protection Officer (CIPP/E) · Provided by ETHYX · Version 1.0 · June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